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6A" w:rsidRDefault="00F1554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建設工事に係る資材の再資源化等に関する法律（平成１２年法律第１</w:t>
      </w:r>
      <w:r w:rsidR="003102A7">
        <w:rPr>
          <w:rFonts w:ascii="ＭＳ 明朝" w:hAnsi="ＭＳ 明朝" w:hint="eastAsia"/>
        </w:rPr>
        <w:t>０４号）第１３条及び特定建設資材に係る分別解体等に関する省令第７</w:t>
      </w:r>
      <w:bookmarkStart w:id="0" w:name="_GoBack"/>
      <w:bookmarkEnd w:id="0"/>
      <w:r>
        <w:rPr>
          <w:rFonts w:ascii="ＭＳ 明朝" w:hAnsi="ＭＳ 明朝" w:hint="eastAsia"/>
        </w:rPr>
        <w:t>条に基づく事項</w:t>
      </w:r>
    </w:p>
    <w:p w:rsidR="00843B6A" w:rsidRDefault="00843B6A">
      <w:pPr>
        <w:pStyle w:val="a3"/>
        <w:rPr>
          <w:spacing w:val="0"/>
        </w:rPr>
      </w:pPr>
    </w:p>
    <w:p w:rsidR="00843B6A" w:rsidRDefault="00F1554D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工事名</w:t>
      </w:r>
    </w:p>
    <w:p w:rsidR="00843B6A" w:rsidRDefault="003102A7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6192" from="0,.25pt" to="326.4pt,.25pt" o:allowincell="f" strokeweight=".5pt">
            <v:path fillok="t"/>
          </v:line>
        </w:pict>
      </w:r>
    </w:p>
    <w:p w:rsidR="00843B6A" w:rsidRDefault="00F1554D">
      <w:pPr>
        <w:pStyle w:val="a3"/>
        <w:rPr>
          <w:spacing w:val="0"/>
        </w:rPr>
      </w:pPr>
      <w:r>
        <w:rPr>
          <w:rFonts w:ascii="ＭＳ 明朝" w:hAnsi="ＭＳ 明朝" w:hint="eastAsia"/>
        </w:rPr>
        <w:t>箇所名</w:t>
      </w:r>
    </w:p>
    <w:p w:rsidR="00843B6A" w:rsidRDefault="003102A7">
      <w:pPr>
        <w:pStyle w:val="a3"/>
        <w:rPr>
          <w:spacing w:val="0"/>
        </w:rPr>
      </w:pPr>
      <w:r>
        <w:rPr>
          <w:noProof/>
        </w:rPr>
        <w:pict>
          <v:line id="_x0000_s1027" style="position:absolute;left:0;text-align:left;z-index:251657216" from="0,.25pt" to="326.4pt,.25pt" o:allowincell="f" strokeweight=".5pt">
            <v:path fillok="t"/>
          </v:line>
        </w:pict>
      </w:r>
    </w:p>
    <w:p w:rsidR="00843B6A" w:rsidRDefault="00F1554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（建築物以外のものに係る解体工事又は新築工事等（土木工事等）の場合）</w:t>
      </w:r>
    </w:p>
    <w:p w:rsidR="00843B6A" w:rsidRDefault="00843B6A">
      <w:pPr>
        <w:pStyle w:val="a3"/>
        <w:rPr>
          <w:spacing w:val="0"/>
        </w:rPr>
      </w:pPr>
    </w:p>
    <w:p w:rsidR="00843B6A" w:rsidRDefault="00F1554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分別解体等の方法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6"/>
        <w:gridCol w:w="2920"/>
        <w:gridCol w:w="2448"/>
        <w:gridCol w:w="3400"/>
      </w:tblGrid>
      <w:tr w:rsidR="00843B6A" w:rsidTr="00F1554D">
        <w:trPr>
          <w:cantSplit/>
          <w:trHeight w:hRule="exact" w:val="656"/>
          <w:jc w:val="center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843B6A" w:rsidRDefault="00F1554D" w:rsidP="00F1554D">
            <w:pPr>
              <w:pStyle w:val="a3"/>
              <w:topLinePunct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工程ごとの作業内容及び解体方法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　　　程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B6A" w:rsidRDefault="00F1554D" w:rsidP="00F1554D">
            <w:pPr>
              <w:pStyle w:val="a3"/>
              <w:topLinePunct/>
              <w:ind w:firstLineChars="100" w:firstLine="2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作　業　内　容</w:t>
            </w:r>
          </w:p>
        </w:tc>
        <w:tc>
          <w:tcPr>
            <w:tcW w:w="3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分別解体等の方法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解体工事のみ</w:t>
            </w:r>
            <w:r>
              <w:rPr>
                <w:rFonts w:hint="eastAsia"/>
                <w:spacing w:val="0"/>
              </w:rPr>
              <w:t>)</w:t>
            </w:r>
          </w:p>
          <w:p w:rsidR="00843B6A" w:rsidRDefault="00843B6A" w:rsidP="00F1554D">
            <w:pPr>
              <w:pStyle w:val="a3"/>
              <w:topLinePunct/>
              <w:jc w:val="center"/>
              <w:rPr>
                <w:spacing w:val="0"/>
              </w:rPr>
            </w:pPr>
          </w:p>
        </w:tc>
      </w:tr>
      <w:tr w:rsidR="00843B6A" w:rsidTr="00F1554D">
        <w:trPr>
          <w:cantSplit/>
          <w:trHeight w:hRule="exact" w:val="662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①仮設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仮設工事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843B6A" w:rsidTr="00F1554D">
        <w:trPr>
          <w:cantSplit/>
          <w:trHeight w:hRule="exact" w:val="662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②土工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843B6A" w:rsidTr="00F1554D">
        <w:trPr>
          <w:cantSplit/>
          <w:trHeight w:hRule="exact" w:val="666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③基礎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基礎工事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843B6A" w:rsidTr="00F1554D">
        <w:trPr>
          <w:cantSplit/>
          <w:trHeight w:hRule="exact" w:val="666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④本体構造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本体構造の工事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843B6A" w:rsidTr="00F1554D">
        <w:trPr>
          <w:cantSplit/>
          <w:trHeight w:hRule="exact" w:val="666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⑤本体付属品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本体付属品の工事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  <w:tr w:rsidR="00843B6A" w:rsidTr="00F1554D">
        <w:trPr>
          <w:cantSplit/>
          <w:trHeight w:hRule="exact" w:val="781"/>
          <w:jc w:val="center"/>
        </w:trPr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43B6A" w:rsidRDefault="00843B6A" w:rsidP="00F1554D">
            <w:pPr>
              <w:pStyle w:val="a3"/>
              <w:topLinePunct/>
              <w:spacing w:line="240" w:lineRule="auto"/>
              <w:rPr>
                <w:spacing w:val="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⑥その他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（　　　　　　　　　　）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その他の工事</w:t>
            </w:r>
          </w:p>
          <w:p w:rsidR="00843B6A" w:rsidRDefault="00F1554D" w:rsidP="00F1554D">
            <w:pPr>
              <w:pStyle w:val="a3"/>
              <w:topLinePunct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□有　　　　□無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</w:t>
            </w:r>
          </w:p>
          <w:p w:rsidR="00843B6A" w:rsidRDefault="00F1554D" w:rsidP="00F1554D">
            <w:pPr>
              <w:pStyle w:val="a3"/>
              <w:topLinePunct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□手作業・機械作業の併用</w:t>
            </w:r>
          </w:p>
        </w:tc>
      </w:tr>
    </w:tbl>
    <w:p w:rsidR="00843B6A" w:rsidRDefault="00843B6A">
      <w:pPr>
        <w:pStyle w:val="a3"/>
        <w:rPr>
          <w:spacing w:val="0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55"/>
      </w:tblGrid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F1554D" w:rsidP="009B62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解体工事に要する費用　（受注者の見積金額）</w:t>
            </w:r>
          </w:p>
        </w:tc>
      </w:tr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3102A7" w:rsidP="009B62BA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</w:rPr>
              <w:pict>
                <v:line id="_x0000_s1030" style="position:absolute;left:0;text-align:left;z-index:251661312;mso-position-horizontal-relative:text;mso-position-vertical-relative:text" from="241.75pt,18.3pt" to="479.75pt,18.3pt" o:allowincell="f" strokeweight=".5pt">
                  <v:path fillok="t"/>
                </v:line>
              </w:pict>
            </w:r>
            <w:r w:rsidR="00F1554D">
              <w:rPr>
                <w:rFonts w:hint="eastAsia"/>
                <w:spacing w:val="0"/>
              </w:rPr>
              <w:t xml:space="preserve">　　　　</w:t>
            </w:r>
            <w:r w:rsidR="00F1554D">
              <w:rPr>
                <w:rFonts w:ascii="ＭＳ 明朝" w:hAnsi="ＭＳ 明朝" w:hint="eastAsia"/>
              </w:rPr>
              <w:t xml:space="preserve">　　円</w:t>
            </w:r>
            <w:r w:rsidR="00F1554D">
              <w:rPr>
                <w:rFonts w:eastAsia="Times New Roman"/>
              </w:rPr>
              <w:t>(</w:t>
            </w:r>
            <w:r w:rsidR="00F1554D">
              <w:rPr>
                <w:rFonts w:ascii="ＭＳ 明朝" w:hAnsi="ＭＳ 明朝" w:hint="eastAsia"/>
              </w:rPr>
              <w:t>税込</w:t>
            </w:r>
            <w:r w:rsidR="00F1554D">
              <w:rPr>
                <w:rFonts w:eastAsia="Times New Roman"/>
              </w:rPr>
              <w:t>)</w:t>
            </w:r>
            <w:r w:rsidR="00F1554D"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F1554D" w:rsidP="009B62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再資源化等をするための施設の名称及び所在地</w:t>
            </w:r>
          </w:p>
        </w:tc>
      </w:tr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F1554D" w:rsidP="009B62B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別紙のとおり　　</w:t>
            </w:r>
          </w:p>
        </w:tc>
      </w:tr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F1554D" w:rsidP="009B62B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特定建設資材廃棄物の再資源化等に要する費用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（受注者の見積金額）</w:t>
            </w:r>
          </w:p>
        </w:tc>
      </w:tr>
      <w:tr w:rsidR="00F1554D" w:rsidTr="009B62BA">
        <w:trPr>
          <w:trHeight w:val="20"/>
          <w:jc w:val="center"/>
        </w:trPr>
        <w:tc>
          <w:tcPr>
            <w:tcW w:w="9555" w:type="dxa"/>
            <w:vAlign w:val="center"/>
          </w:tcPr>
          <w:p w:rsidR="00F1554D" w:rsidRDefault="003102A7" w:rsidP="009B62BA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line id="_x0000_s1031" style="position:absolute;left:0;text-align:left;z-index:251662336;mso-position-horizontal-relative:text;mso-position-vertical-relative:text" from="241.75pt,17.75pt" to="479.75pt,17.75pt" o:allowincell="f" strokeweight=".5pt">
                  <v:path fillok="t"/>
                </v:line>
              </w:pict>
            </w:r>
            <w:r w:rsidR="00F1554D">
              <w:rPr>
                <w:rFonts w:hint="eastAsia"/>
                <w:spacing w:val="0"/>
              </w:rPr>
              <w:t xml:space="preserve">　　　　</w:t>
            </w:r>
            <w:r w:rsidR="00F1554D">
              <w:rPr>
                <w:rFonts w:ascii="ＭＳ 明朝" w:hAnsi="ＭＳ 明朝" w:hint="eastAsia"/>
              </w:rPr>
              <w:t xml:space="preserve">　　円</w:t>
            </w:r>
            <w:r w:rsidR="00F1554D">
              <w:rPr>
                <w:rFonts w:eastAsia="Times New Roman"/>
              </w:rPr>
              <w:t>(</w:t>
            </w:r>
            <w:r w:rsidR="00F1554D">
              <w:rPr>
                <w:rFonts w:ascii="ＭＳ 明朝" w:hAnsi="ＭＳ 明朝" w:hint="eastAsia"/>
              </w:rPr>
              <w:t>税込</w:t>
            </w:r>
            <w:r w:rsidR="00F1554D">
              <w:rPr>
                <w:rFonts w:eastAsia="Times New Roman"/>
              </w:rPr>
              <w:t>)</w:t>
            </w:r>
            <w:r w:rsidR="00F1554D" w:rsidRPr="00A5302A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F1554D" w:rsidRDefault="00F1554D">
      <w:pPr>
        <w:pStyle w:val="a3"/>
        <w:rPr>
          <w:spacing w:val="0"/>
        </w:rPr>
        <w:sectPr w:rsidR="00F1554D" w:rsidSect="00F1554D">
          <w:pgSz w:w="11906" w:h="16838"/>
          <w:pgMar w:top="1701" w:right="1168" w:bottom="1701" w:left="1168" w:header="720" w:footer="720" w:gutter="0"/>
          <w:cols w:space="720"/>
          <w:noEndnote/>
          <w:docGrid w:type="linesAndChars" w:linePitch="286"/>
        </w:sectPr>
      </w:pPr>
    </w:p>
    <w:p w:rsidR="00F1554D" w:rsidRDefault="00F1554D">
      <w:pPr>
        <w:pStyle w:val="a3"/>
        <w:rPr>
          <w:spacing w:val="0"/>
        </w:rPr>
        <w:sectPr w:rsidR="00F1554D">
          <w:type w:val="continuous"/>
          <w:pgSz w:w="11906" w:h="16838"/>
          <w:pgMar w:top="1701" w:right="1168" w:bottom="1701" w:left="1168" w:header="720" w:footer="720" w:gutter="0"/>
          <w:cols w:space="720"/>
          <w:noEndnote/>
        </w:sectPr>
      </w:pPr>
    </w:p>
    <w:p w:rsidR="00843B6A" w:rsidRDefault="00F1554D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別紙</w:t>
      </w:r>
    </w:p>
    <w:p w:rsidR="00F1554D" w:rsidRDefault="00F1554D">
      <w:pPr>
        <w:pStyle w:val="a3"/>
        <w:rPr>
          <w:spacing w:val="0"/>
        </w:rPr>
      </w:pPr>
      <w:r>
        <w:rPr>
          <w:rFonts w:hint="eastAsia"/>
          <w:spacing w:val="0"/>
        </w:rPr>
        <w:t>（書ききれない場合は別紙に記載）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228"/>
        <w:gridCol w:w="3228"/>
        <w:gridCol w:w="3228"/>
      </w:tblGrid>
      <w:tr w:rsidR="00843B6A" w:rsidTr="00F1554D">
        <w:trPr>
          <w:jc w:val="center"/>
        </w:trPr>
        <w:tc>
          <w:tcPr>
            <w:tcW w:w="3228" w:type="dxa"/>
          </w:tcPr>
          <w:p w:rsidR="00843B6A" w:rsidRDefault="00F155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特定建設資材廃棄物の種類</w:t>
            </w:r>
          </w:p>
        </w:tc>
        <w:tc>
          <w:tcPr>
            <w:tcW w:w="3228" w:type="dxa"/>
          </w:tcPr>
          <w:p w:rsidR="00843B6A" w:rsidRDefault="00F155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3228" w:type="dxa"/>
          </w:tcPr>
          <w:p w:rsidR="00843B6A" w:rsidRDefault="00F1554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  <w:tr w:rsidR="00843B6A" w:rsidTr="00F1554D">
        <w:trPr>
          <w:jc w:val="center"/>
        </w:trPr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  <w:tc>
          <w:tcPr>
            <w:tcW w:w="3228" w:type="dxa"/>
          </w:tcPr>
          <w:p w:rsidR="00843B6A" w:rsidRDefault="00843B6A">
            <w:pPr>
              <w:pStyle w:val="a3"/>
              <w:rPr>
                <w:spacing w:val="0"/>
              </w:rPr>
            </w:pPr>
          </w:p>
        </w:tc>
      </w:tr>
    </w:tbl>
    <w:p w:rsidR="00843B6A" w:rsidRDefault="00843B6A">
      <w:pPr>
        <w:pStyle w:val="a3"/>
        <w:rPr>
          <w:spacing w:val="0"/>
        </w:rPr>
        <w:sectPr w:rsidR="00843B6A" w:rsidSect="00F1554D">
          <w:pgSz w:w="11906" w:h="16838"/>
          <w:pgMar w:top="1701" w:right="1168" w:bottom="1701" w:left="1168" w:header="720" w:footer="720" w:gutter="0"/>
          <w:cols w:space="720"/>
          <w:noEndnote/>
          <w:docGrid w:type="linesAndChars" w:linePitch="286"/>
        </w:sectPr>
      </w:pPr>
    </w:p>
    <w:p w:rsidR="00843B6A" w:rsidRDefault="00F1554D">
      <w:pPr>
        <w:pStyle w:val="a3"/>
        <w:rPr>
          <w:spacing w:val="0"/>
        </w:rPr>
      </w:pPr>
      <w:r>
        <w:rPr>
          <w:rFonts w:hint="eastAsia"/>
          <w:spacing w:val="0"/>
        </w:rPr>
        <w:t>※受注者が選択した施設を記載（品目ごとに複数記入可）</w:t>
      </w:r>
    </w:p>
    <w:sectPr w:rsidR="00843B6A">
      <w:type w:val="continuous"/>
      <w:pgSz w:w="11906" w:h="16838"/>
      <w:pgMar w:top="1701" w:right="1168" w:bottom="1701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54D"/>
    <w:rsid w:val="003102A7"/>
    <w:rsid w:val="00843B6A"/>
    <w:rsid w:val="00F1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3CF542C"/>
  <w15:docId w15:val="{BDE36DAD-5839-479E-9C32-D5480FC2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5"/>
      <w:sz w:val="24"/>
      <w:szCs w:val="24"/>
    </w:rPr>
  </w:style>
  <w:style w:type="table" w:styleId="a4">
    <w:name w:val="Table Grid"/>
    <w:basedOn w:val="a1"/>
    <w:uiPriority w:val="59"/>
    <w:rsid w:val="00F1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建設工事に係る資材の再資源化等に関する法律（平成１２年法律第１０４号）第１３条及び特定建設資材に係る分別解体等に関する省令第４条に基づく事項</vt:lpstr>
    </vt:vector>
  </TitlesOfParts>
  <Company>笛吹市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00010000</cp:lastModifiedBy>
  <cp:revision>2</cp:revision>
  <dcterms:created xsi:type="dcterms:W3CDTF">2016-01-29T08:25:00Z</dcterms:created>
  <dcterms:modified xsi:type="dcterms:W3CDTF">2024-11-08T05:23:00Z</dcterms:modified>
</cp:coreProperties>
</file>